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D2C8" w14:textId="35FBFFB8" w:rsidR="00311147" w:rsidRPr="00380EA1" w:rsidRDefault="00000000">
      <w:pPr>
        <w:pStyle w:val="Heading1"/>
        <w:rPr>
          <w:sz w:val="24"/>
          <w:szCs w:val="24"/>
        </w:rPr>
      </w:pPr>
      <w:r w:rsidRPr="00380EA1">
        <w:rPr>
          <w:sz w:val="24"/>
          <w:szCs w:val="24"/>
        </w:rPr>
        <w:t>Best</w:t>
      </w:r>
      <w:r w:rsidRPr="00380EA1">
        <w:rPr>
          <w:spacing w:val="-6"/>
          <w:sz w:val="24"/>
          <w:szCs w:val="24"/>
        </w:rPr>
        <w:t xml:space="preserve"> </w:t>
      </w:r>
      <w:r w:rsidRPr="00380EA1">
        <w:rPr>
          <w:sz w:val="24"/>
          <w:szCs w:val="24"/>
        </w:rPr>
        <w:t>Practice</w:t>
      </w:r>
      <w:r w:rsidRPr="00380EA1">
        <w:rPr>
          <w:spacing w:val="-8"/>
          <w:sz w:val="24"/>
          <w:szCs w:val="24"/>
        </w:rPr>
        <w:t xml:space="preserve"> </w:t>
      </w:r>
      <w:r w:rsidRPr="00380EA1">
        <w:rPr>
          <w:sz w:val="24"/>
          <w:szCs w:val="24"/>
        </w:rPr>
        <w:t>for</w:t>
      </w:r>
      <w:r w:rsidRPr="00380EA1">
        <w:rPr>
          <w:spacing w:val="-7"/>
          <w:sz w:val="24"/>
          <w:szCs w:val="24"/>
        </w:rPr>
        <w:t xml:space="preserve"> </w:t>
      </w:r>
      <w:r w:rsidRPr="00380EA1">
        <w:rPr>
          <w:sz w:val="24"/>
          <w:szCs w:val="24"/>
        </w:rPr>
        <w:t>Sharing</w:t>
      </w:r>
      <w:r w:rsidRPr="00380EA1">
        <w:rPr>
          <w:spacing w:val="-5"/>
          <w:sz w:val="24"/>
          <w:szCs w:val="24"/>
        </w:rPr>
        <w:t xml:space="preserve"> </w:t>
      </w:r>
      <w:r w:rsidRPr="00380EA1">
        <w:rPr>
          <w:sz w:val="24"/>
          <w:szCs w:val="24"/>
        </w:rPr>
        <w:t>using</w:t>
      </w:r>
      <w:r w:rsidRPr="00380EA1">
        <w:rPr>
          <w:spacing w:val="-8"/>
          <w:sz w:val="24"/>
          <w:szCs w:val="24"/>
        </w:rPr>
        <w:t xml:space="preserve"> </w:t>
      </w:r>
      <w:r w:rsidRPr="00380EA1">
        <w:rPr>
          <w:sz w:val="24"/>
          <w:szCs w:val="24"/>
        </w:rPr>
        <w:t>NACDA-OAR</w:t>
      </w:r>
      <w:r w:rsidRPr="00380EA1">
        <w:rPr>
          <w:spacing w:val="-8"/>
          <w:sz w:val="24"/>
          <w:szCs w:val="24"/>
        </w:rPr>
        <w:t xml:space="preserve"> </w:t>
      </w:r>
      <w:r w:rsidRPr="00380EA1">
        <w:rPr>
          <w:sz w:val="24"/>
          <w:szCs w:val="24"/>
        </w:rPr>
        <w:t>(self-publishing</w:t>
      </w:r>
      <w:r w:rsidRPr="00380EA1">
        <w:rPr>
          <w:spacing w:val="-7"/>
          <w:sz w:val="24"/>
          <w:szCs w:val="24"/>
        </w:rPr>
        <w:t xml:space="preserve"> </w:t>
      </w:r>
      <w:r w:rsidRPr="00380EA1">
        <w:rPr>
          <w:spacing w:val="-2"/>
          <w:sz w:val="24"/>
          <w:szCs w:val="24"/>
        </w:rPr>
        <w:t>repository)</w:t>
      </w:r>
    </w:p>
    <w:p w14:paraId="2E9AFC21" w14:textId="04FB1295" w:rsidR="00311147" w:rsidRPr="00380EA1" w:rsidRDefault="00000000">
      <w:pPr>
        <w:pStyle w:val="BodyText"/>
        <w:spacing w:before="37" w:line="278" w:lineRule="auto"/>
        <w:ind w:left="359" w:right="8998" w:firstLine="0"/>
        <w:rPr>
          <w:spacing w:val="-2"/>
          <w:sz w:val="20"/>
          <w:szCs w:val="20"/>
        </w:rPr>
      </w:pPr>
      <w:r w:rsidRPr="00380EA1">
        <w:rPr>
          <w:sz w:val="20"/>
          <w:szCs w:val="20"/>
        </w:rPr>
        <w:t>Updated</w:t>
      </w:r>
      <w:r w:rsidRPr="00380EA1">
        <w:rPr>
          <w:spacing w:val="-16"/>
          <w:sz w:val="20"/>
          <w:szCs w:val="20"/>
        </w:rPr>
        <w:t xml:space="preserve"> </w:t>
      </w:r>
      <w:r w:rsidR="00632BFB" w:rsidRPr="00380EA1">
        <w:rPr>
          <w:sz w:val="20"/>
          <w:szCs w:val="20"/>
        </w:rPr>
        <w:t>Feb</w:t>
      </w:r>
      <w:r w:rsidRPr="00380EA1">
        <w:rPr>
          <w:sz w:val="20"/>
          <w:szCs w:val="20"/>
        </w:rPr>
        <w:t>202</w:t>
      </w:r>
      <w:r w:rsidR="00632BFB" w:rsidRPr="00380EA1">
        <w:rPr>
          <w:sz w:val="20"/>
          <w:szCs w:val="20"/>
        </w:rPr>
        <w:t>6</w:t>
      </w:r>
      <w:r w:rsidRPr="00380EA1">
        <w:rPr>
          <w:sz w:val="20"/>
          <w:szCs w:val="20"/>
        </w:rPr>
        <w:t xml:space="preserve"> </w:t>
      </w:r>
      <w:r w:rsidRPr="00380EA1">
        <w:rPr>
          <w:spacing w:val="-2"/>
          <w:sz w:val="20"/>
          <w:szCs w:val="20"/>
        </w:rPr>
        <w:t>Nacda-aging.org</w:t>
      </w:r>
    </w:p>
    <w:p w14:paraId="08139EBB" w14:textId="3AA70297" w:rsidR="00380EA1" w:rsidRPr="00380EA1" w:rsidRDefault="00380EA1" w:rsidP="00380EA1">
      <w:pPr>
        <w:pStyle w:val="BodyText"/>
        <w:spacing w:before="1"/>
        <w:ind w:left="360" w:firstLine="0"/>
        <w:rPr>
          <w:sz w:val="20"/>
          <w:szCs w:val="20"/>
        </w:rPr>
      </w:pPr>
      <w:r w:rsidRPr="00380EA1">
        <w:rPr>
          <w:sz w:val="20"/>
          <w:szCs w:val="20"/>
        </w:rPr>
        <w:t>If</w:t>
      </w:r>
      <w:r w:rsidRPr="00380EA1">
        <w:rPr>
          <w:spacing w:val="-7"/>
          <w:sz w:val="20"/>
          <w:szCs w:val="20"/>
        </w:rPr>
        <w:t xml:space="preserve"> </w:t>
      </w:r>
      <w:r w:rsidRPr="00380EA1">
        <w:rPr>
          <w:sz w:val="20"/>
          <w:szCs w:val="20"/>
        </w:rPr>
        <w:t>you</w:t>
      </w:r>
      <w:r w:rsidRPr="00380EA1">
        <w:rPr>
          <w:spacing w:val="-5"/>
          <w:sz w:val="20"/>
          <w:szCs w:val="20"/>
        </w:rPr>
        <w:t xml:space="preserve"> </w:t>
      </w:r>
      <w:r w:rsidRPr="00380EA1">
        <w:rPr>
          <w:sz w:val="20"/>
          <w:szCs w:val="20"/>
        </w:rPr>
        <w:t>have</w:t>
      </w:r>
      <w:r w:rsidRPr="00380EA1">
        <w:rPr>
          <w:spacing w:val="-4"/>
          <w:sz w:val="20"/>
          <w:szCs w:val="20"/>
        </w:rPr>
        <w:t xml:space="preserve"> </w:t>
      </w:r>
      <w:r w:rsidRPr="00380EA1">
        <w:rPr>
          <w:sz w:val="20"/>
          <w:szCs w:val="20"/>
        </w:rPr>
        <w:t>any</w:t>
      </w:r>
      <w:r w:rsidRPr="00380EA1">
        <w:rPr>
          <w:spacing w:val="-7"/>
          <w:sz w:val="20"/>
          <w:szCs w:val="20"/>
        </w:rPr>
        <w:t xml:space="preserve"> </w:t>
      </w:r>
      <w:r w:rsidRPr="00380EA1">
        <w:rPr>
          <w:sz w:val="20"/>
          <w:szCs w:val="20"/>
        </w:rPr>
        <w:t>questions</w:t>
      </w:r>
      <w:r w:rsidRPr="00380EA1">
        <w:rPr>
          <w:spacing w:val="-3"/>
          <w:sz w:val="20"/>
          <w:szCs w:val="20"/>
        </w:rPr>
        <w:t xml:space="preserve"> </w:t>
      </w:r>
      <w:r w:rsidRPr="00380EA1">
        <w:rPr>
          <w:sz w:val="20"/>
          <w:szCs w:val="20"/>
        </w:rPr>
        <w:t>or</w:t>
      </w:r>
      <w:r w:rsidRPr="00380EA1">
        <w:rPr>
          <w:spacing w:val="-6"/>
          <w:sz w:val="20"/>
          <w:szCs w:val="20"/>
        </w:rPr>
        <w:t xml:space="preserve"> </w:t>
      </w:r>
      <w:r w:rsidRPr="00380EA1">
        <w:rPr>
          <w:sz w:val="20"/>
          <w:szCs w:val="20"/>
        </w:rPr>
        <w:t>need</w:t>
      </w:r>
      <w:r w:rsidRPr="00380EA1">
        <w:rPr>
          <w:spacing w:val="-5"/>
          <w:sz w:val="20"/>
          <w:szCs w:val="20"/>
        </w:rPr>
        <w:t xml:space="preserve"> </w:t>
      </w:r>
      <w:r w:rsidRPr="00380EA1">
        <w:rPr>
          <w:sz w:val="20"/>
          <w:szCs w:val="20"/>
        </w:rPr>
        <w:t>assistance,</w:t>
      </w:r>
      <w:r w:rsidRPr="00380EA1">
        <w:rPr>
          <w:spacing w:val="-2"/>
          <w:sz w:val="20"/>
          <w:szCs w:val="20"/>
        </w:rPr>
        <w:t xml:space="preserve"> </w:t>
      </w:r>
      <w:r w:rsidRPr="00380EA1">
        <w:rPr>
          <w:sz w:val="20"/>
          <w:szCs w:val="20"/>
        </w:rPr>
        <w:t>please</w:t>
      </w:r>
      <w:r w:rsidRPr="00380EA1">
        <w:rPr>
          <w:spacing w:val="-5"/>
          <w:sz w:val="20"/>
          <w:szCs w:val="20"/>
        </w:rPr>
        <w:t xml:space="preserve"> </w:t>
      </w:r>
      <w:r w:rsidRPr="00380EA1">
        <w:rPr>
          <w:sz w:val="20"/>
          <w:szCs w:val="20"/>
        </w:rPr>
        <w:t>email</w:t>
      </w:r>
      <w:r w:rsidRPr="00380EA1">
        <w:rPr>
          <w:spacing w:val="-4"/>
          <w:sz w:val="20"/>
          <w:szCs w:val="20"/>
        </w:rPr>
        <w:t xml:space="preserve"> </w:t>
      </w:r>
      <w:hyperlink r:id="rId5">
        <w:r w:rsidRPr="00380EA1">
          <w:rPr>
            <w:color w:val="1154CC"/>
            <w:sz w:val="20"/>
            <w:szCs w:val="20"/>
            <w:u w:val="single" w:color="1154CC"/>
          </w:rPr>
          <w:t>icpsr-</w:t>
        </w:r>
        <w:r w:rsidRPr="00380EA1">
          <w:rPr>
            <w:color w:val="1154CC"/>
            <w:spacing w:val="-2"/>
            <w:sz w:val="20"/>
            <w:szCs w:val="20"/>
            <w:u w:val="single" w:color="1154CC"/>
          </w:rPr>
          <w:t>help@umich.edu</w:t>
        </w:r>
      </w:hyperlink>
      <w:r w:rsidRPr="00380EA1">
        <w:rPr>
          <w:spacing w:val="-2"/>
          <w:sz w:val="20"/>
          <w:szCs w:val="20"/>
        </w:rPr>
        <w:t>.</w:t>
      </w:r>
    </w:p>
    <w:p w14:paraId="0AC73DAE" w14:textId="77777777" w:rsidR="00311147" w:rsidRDefault="00311147">
      <w:pPr>
        <w:pStyle w:val="BodyText"/>
        <w:spacing w:before="34"/>
        <w:ind w:left="0" w:firstLine="0"/>
      </w:pPr>
    </w:p>
    <w:p w14:paraId="1895FED3" w14:textId="44E983C9" w:rsidR="00311147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line="276" w:lineRule="auto"/>
        <w:ind w:right="602"/>
      </w:pPr>
      <w:r w:rsidRPr="00632BFB">
        <w:rPr>
          <w:b/>
          <w:bCs/>
        </w:rPr>
        <w:t>Remove</w:t>
      </w:r>
      <w:r w:rsidRPr="00632BFB">
        <w:rPr>
          <w:b/>
          <w:bCs/>
          <w:spacing w:val="-3"/>
        </w:rPr>
        <w:t xml:space="preserve"> </w:t>
      </w:r>
      <w:r w:rsidRPr="00632BFB">
        <w:rPr>
          <w:b/>
          <w:bCs/>
        </w:rPr>
        <w:t>identifying</w:t>
      </w:r>
      <w:r w:rsidRPr="00632BFB">
        <w:rPr>
          <w:b/>
          <w:bCs/>
          <w:spacing w:val="-3"/>
        </w:rPr>
        <w:t xml:space="preserve"> </w:t>
      </w:r>
      <w:r w:rsidRPr="00632BFB">
        <w:rPr>
          <w:b/>
          <w:bCs/>
        </w:rPr>
        <w:t>information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from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</w:rPr>
        <w:t>the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data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to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protect</w:t>
      </w:r>
      <w:r w:rsidRPr="00632BFB">
        <w:rPr>
          <w:b/>
          <w:bCs/>
          <w:spacing w:val="-1"/>
        </w:rPr>
        <w:t xml:space="preserve"> </w:t>
      </w:r>
      <w:r w:rsidRPr="00632BFB">
        <w:rPr>
          <w:b/>
          <w:bCs/>
        </w:rPr>
        <w:t>confidentiality.</w:t>
      </w:r>
      <w:r>
        <w:rPr>
          <w:spacing w:val="-3"/>
        </w:rPr>
        <w:t xml:space="preserve"> </w:t>
      </w:r>
      <w:r w:rsidR="00632BFB">
        <w:rPr>
          <w:spacing w:val="-3"/>
        </w:rPr>
        <w:t xml:space="preserve">NACDA-OAR is intended for sharing public-use data only. </w:t>
      </w:r>
      <w:r>
        <w:t>NACDA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ICPSR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 review self-published submissions for disclosure risk.</w:t>
      </w:r>
    </w:p>
    <w:p w14:paraId="4D5DAA7C" w14:textId="77777777" w:rsidR="00311147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42"/>
      </w:pPr>
      <w:r>
        <w:t xml:space="preserve">If applicable, request permission to share any secondary data you used by emailing </w:t>
      </w:r>
      <w:hyperlink r:id="rId6">
        <w:r>
          <w:rPr>
            <w:color w:val="1154CC"/>
            <w:u w:val="single" w:color="1154CC"/>
          </w:rPr>
          <w:t>icpsr-</w:t>
        </w:r>
      </w:hyperlink>
      <w:hyperlink r:id="rId7">
        <w:r>
          <w:rPr>
            <w:color w:val="1154CC"/>
            <w:u w:val="single" w:color="1154CC"/>
          </w:rPr>
          <w:t>help@umich.edu</w:t>
        </w:r>
      </w:hyperlink>
      <w:r>
        <w:rPr>
          <w:color w:val="1154CC"/>
          <w:spacing w:val="-2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project.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ICPSR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Redistribution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</w:hyperlink>
      <w:r>
        <w:rPr>
          <w:color w:val="0000FF"/>
          <w:spacing w:val="-1"/>
        </w:rPr>
        <w:t xml:space="preserve"> </w:t>
      </w:r>
      <w:r>
        <w:t>prior to contacting us.</w:t>
      </w:r>
    </w:p>
    <w:p w14:paraId="1D623BFA" w14:textId="77777777" w:rsidR="00311147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ind w:left="1080" w:hanging="360"/>
      </w:pPr>
      <w:r>
        <w:t>What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deposit/project</w:t>
      </w:r>
      <w:r>
        <w:rPr>
          <w:spacing w:val="-3"/>
        </w:rPr>
        <w:t xml:space="preserve"> </w:t>
      </w:r>
      <w:r>
        <w:rPr>
          <w:spacing w:val="-2"/>
        </w:rPr>
        <w:t>include?</w:t>
      </w:r>
    </w:p>
    <w:p w14:paraId="5CA3B2FF" w14:textId="77777777" w:rsidR="00311147" w:rsidRPr="00632BFB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40"/>
        <w:ind w:hanging="360"/>
        <w:rPr>
          <w:b/>
          <w:bCs/>
        </w:rPr>
      </w:pPr>
      <w:r w:rsidRPr="00632BFB">
        <w:rPr>
          <w:b/>
          <w:bCs/>
          <w:spacing w:val="-2"/>
        </w:rPr>
        <w:t>Syntax/code</w:t>
      </w:r>
    </w:p>
    <w:p w14:paraId="0F16BDED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before="37" w:line="276" w:lineRule="auto"/>
        <w:ind w:right="282"/>
      </w:pPr>
      <w:r>
        <w:t>We</w:t>
      </w:r>
      <w:r>
        <w:rPr>
          <w:spacing w:val="-3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code/syntax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throughout the course of their projects.</w:t>
      </w:r>
    </w:p>
    <w:p w14:paraId="7680E60A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line="276" w:lineRule="auto"/>
        <w:ind w:right="465"/>
      </w:pPr>
      <w:r>
        <w:t>The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DOI(s);</w:t>
      </w:r>
      <w:r>
        <w:rPr>
          <w:spacing w:val="-3"/>
        </w:rPr>
        <w:t xml:space="preserve"> </w:t>
      </w:r>
      <w:r>
        <w:t>ICPSR</w:t>
      </w:r>
      <w:r>
        <w:rPr>
          <w:spacing w:val="-3"/>
        </w:rPr>
        <w:t xml:space="preserve"> </w:t>
      </w:r>
      <w:r>
        <w:t>DOIs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version number of the primary dataset.</w:t>
      </w:r>
    </w:p>
    <w:p w14:paraId="702FBABA" w14:textId="699B3F2F" w:rsidR="00632BFB" w:rsidRDefault="00632BFB" w:rsidP="00632BFB">
      <w:pPr>
        <w:pStyle w:val="ListParagraph"/>
        <w:numPr>
          <w:ilvl w:val="2"/>
          <w:numId w:val="2"/>
        </w:numPr>
        <w:tabs>
          <w:tab w:val="left" w:pos="2520"/>
        </w:tabs>
        <w:spacing w:line="276" w:lineRule="auto"/>
        <w:ind w:right="465"/>
      </w:pPr>
      <w:r>
        <w:t xml:space="preserve">If you are sharing syntax you used when analyzing restricted data you were permitted to access, note that the data you accessed are restricted. </w:t>
      </w:r>
    </w:p>
    <w:p w14:paraId="4A060FA2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1"/>
        </w:tabs>
        <w:spacing w:line="276" w:lineRule="auto"/>
        <w:ind w:left="2521" w:right="357"/>
      </w:pPr>
      <w:r>
        <w:t>Where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datasets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used,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numbers,</w:t>
      </w:r>
      <w:r>
        <w:rPr>
          <w:spacing w:val="-2"/>
        </w:rPr>
        <w:t xml:space="preserve"> </w:t>
      </w:r>
      <w:r>
        <w:t>dataset</w:t>
      </w:r>
      <w:r>
        <w:rPr>
          <w:spacing w:val="-2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numbers should be noted clearly.</w:t>
      </w:r>
    </w:p>
    <w:p w14:paraId="65929962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1"/>
        </w:tabs>
        <w:spacing w:line="276" w:lineRule="auto"/>
        <w:ind w:left="2521" w:right="161"/>
      </w:pPr>
      <w:r>
        <w:t>Your code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manipulating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other users can replicate the results, including computed variables, sorting, </w:t>
      </w:r>
      <w:proofErr w:type="gramStart"/>
      <w:r>
        <w:t>etc.</w:t>
      </w:r>
      <w:proofErr w:type="gramEnd"/>
    </w:p>
    <w:p w14:paraId="44133525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1"/>
        </w:tabs>
        <w:spacing w:before="1"/>
        <w:ind w:left="2521" w:hanging="360"/>
      </w:pPr>
      <w:r>
        <w:t>Write</w:t>
      </w:r>
      <w:r>
        <w:rPr>
          <w:spacing w:val="-8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secondary</w:t>
      </w:r>
      <w:r>
        <w:rPr>
          <w:spacing w:val="-2"/>
        </w:rPr>
        <w:t xml:space="preserve"> users.</w:t>
      </w:r>
    </w:p>
    <w:p w14:paraId="2FEA9F8A" w14:textId="77777777" w:rsidR="00311147" w:rsidRPr="00632BFB" w:rsidRDefault="00000000" w:rsidP="00632BFB">
      <w:pPr>
        <w:pStyle w:val="ListParagraph"/>
        <w:numPr>
          <w:ilvl w:val="2"/>
          <w:numId w:val="2"/>
        </w:numPr>
        <w:tabs>
          <w:tab w:val="left" w:pos="2519"/>
        </w:tabs>
        <w:spacing w:before="1"/>
        <w:ind w:left="2521" w:hanging="360"/>
      </w:pPr>
      <w:r w:rsidRPr="00632BFB">
        <w:t>Run your code in a clean environment to ensure the package is reproducible.</w:t>
      </w:r>
    </w:p>
    <w:p w14:paraId="56F73577" w14:textId="77777777" w:rsidR="00311147" w:rsidRPr="00632BFB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35"/>
        <w:ind w:hanging="360"/>
        <w:rPr>
          <w:b/>
          <w:bCs/>
        </w:rPr>
      </w:pPr>
      <w:r w:rsidRPr="00632BFB">
        <w:rPr>
          <w:b/>
          <w:bCs/>
          <w:spacing w:val="-2"/>
        </w:rPr>
        <w:t>Documentation</w:t>
      </w:r>
    </w:p>
    <w:p w14:paraId="64CB093E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before="40"/>
        <w:ind w:hanging="36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manipulations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purpose.</w:t>
      </w:r>
    </w:p>
    <w:p w14:paraId="5C2E88C2" w14:textId="2E683CFD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before="37" w:line="276" w:lineRule="auto"/>
        <w:ind w:right="405"/>
      </w:pPr>
      <w:r>
        <w:t>Almost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 w:rsidR="00380EA1">
        <w:t>acceptable but</w:t>
      </w:r>
      <w:r>
        <w:rPr>
          <w:spacing w:val="-3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data users to best review the materials, such as PDF.</w:t>
      </w:r>
    </w:p>
    <w:p w14:paraId="00415046" w14:textId="696D6540" w:rsidR="00311147" w:rsidRPr="00380EA1" w:rsidRDefault="00000000" w:rsidP="00380EA1">
      <w:pPr>
        <w:pStyle w:val="ListParagraph"/>
        <w:numPr>
          <w:ilvl w:val="1"/>
          <w:numId w:val="2"/>
        </w:numPr>
        <w:tabs>
          <w:tab w:val="left" w:pos="2520"/>
        </w:tabs>
        <w:spacing w:before="37" w:line="276" w:lineRule="auto"/>
        <w:ind w:right="405"/>
        <w:rPr>
          <w:b/>
          <w:bCs/>
        </w:rPr>
      </w:pPr>
      <w:r w:rsidRPr="00380EA1">
        <w:rPr>
          <w:b/>
          <w:bCs/>
          <w:spacing w:val="-2"/>
        </w:rPr>
        <w:t>Metadata</w:t>
      </w:r>
    </w:p>
    <w:p w14:paraId="64B14014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before="37" w:line="278" w:lineRule="auto"/>
        <w:ind w:right="148"/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descriptive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project;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discovery,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data users to include the years and geography in the title.</w:t>
      </w:r>
    </w:p>
    <w:p w14:paraId="7EF43760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line="249" w:lineRule="exact"/>
        <w:ind w:hanging="360"/>
      </w:pPr>
      <w:r>
        <w:t>Use</w:t>
      </w:r>
      <w:r>
        <w:rPr>
          <w:spacing w:val="-5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tag</w:t>
      </w:r>
      <w:r>
        <w:rPr>
          <w:spacing w:val="-5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reflects.</w:t>
      </w:r>
    </w:p>
    <w:p w14:paraId="79FD4C9E" w14:textId="77777777" w:rsidR="00311147" w:rsidRDefault="00000000">
      <w:pPr>
        <w:pStyle w:val="ListParagraph"/>
        <w:numPr>
          <w:ilvl w:val="2"/>
          <w:numId w:val="2"/>
        </w:numPr>
        <w:tabs>
          <w:tab w:val="left" w:pos="2520"/>
        </w:tabs>
        <w:spacing w:before="38"/>
        <w:ind w:hanging="360"/>
      </w:pPr>
      <w:r>
        <w:t>Provide</w:t>
      </w:r>
      <w:r>
        <w:rPr>
          <w:spacing w:val="-8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space.</w:t>
      </w:r>
    </w:p>
    <w:p w14:paraId="05713539" w14:textId="77777777" w:rsidR="00311147" w:rsidRPr="00632BFB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37"/>
        <w:ind w:hanging="360"/>
        <w:rPr>
          <w:b/>
          <w:bCs/>
        </w:rPr>
      </w:pPr>
      <w:r w:rsidRPr="00632BFB">
        <w:rPr>
          <w:b/>
          <w:bCs/>
        </w:rPr>
        <w:t>Clear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reference</w:t>
      </w:r>
      <w:r w:rsidRPr="00632BFB">
        <w:rPr>
          <w:b/>
          <w:bCs/>
          <w:spacing w:val="-7"/>
        </w:rPr>
        <w:t xml:space="preserve"> </w:t>
      </w:r>
      <w:r w:rsidRPr="00632BFB">
        <w:rPr>
          <w:b/>
          <w:bCs/>
        </w:rPr>
        <w:t>(DOI)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to</w:t>
      </w:r>
      <w:r w:rsidRPr="00632BFB">
        <w:rPr>
          <w:b/>
          <w:bCs/>
          <w:spacing w:val="-7"/>
        </w:rPr>
        <w:t xml:space="preserve"> </w:t>
      </w:r>
      <w:r w:rsidRPr="00632BFB">
        <w:rPr>
          <w:b/>
          <w:bCs/>
        </w:rPr>
        <w:t>data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source,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</w:rPr>
        <w:t>including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version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  <w:spacing w:val="-2"/>
        </w:rPr>
        <w:t>number</w:t>
      </w:r>
    </w:p>
    <w:p w14:paraId="63138DDE" w14:textId="77777777" w:rsidR="00311147" w:rsidRPr="00632BFB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37"/>
        <w:ind w:hanging="360"/>
        <w:rPr>
          <w:b/>
          <w:bCs/>
        </w:rPr>
      </w:pPr>
      <w:r w:rsidRPr="00632BFB">
        <w:rPr>
          <w:b/>
          <w:bCs/>
        </w:rPr>
        <w:t>Any</w:t>
      </w:r>
      <w:r w:rsidRPr="00632BFB">
        <w:rPr>
          <w:b/>
          <w:bCs/>
          <w:spacing w:val="-6"/>
        </w:rPr>
        <w:t xml:space="preserve"> </w:t>
      </w:r>
      <w:r w:rsidRPr="00632BFB">
        <w:rPr>
          <w:b/>
          <w:bCs/>
        </w:rPr>
        <w:t>publications</w:t>
      </w:r>
      <w:r w:rsidRPr="00632BFB">
        <w:rPr>
          <w:b/>
          <w:bCs/>
          <w:spacing w:val="-3"/>
        </w:rPr>
        <w:t xml:space="preserve"> </w:t>
      </w:r>
      <w:r w:rsidRPr="00632BFB">
        <w:rPr>
          <w:b/>
          <w:bCs/>
        </w:rPr>
        <w:t>related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to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</w:rPr>
        <w:t>your</w:t>
      </w:r>
      <w:r w:rsidRPr="00632BFB">
        <w:rPr>
          <w:b/>
          <w:bCs/>
          <w:spacing w:val="-3"/>
        </w:rPr>
        <w:t xml:space="preserve"> </w:t>
      </w:r>
      <w:r w:rsidRPr="00632BFB">
        <w:rPr>
          <w:b/>
          <w:bCs/>
        </w:rPr>
        <w:t>project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</w:rPr>
        <w:t>and</w:t>
      </w:r>
      <w:r w:rsidRPr="00632BFB">
        <w:rPr>
          <w:b/>
          <w:bCs/>
          <w:spacing w:val="-5"/>
        </w:rPr>
        <w:t xml:space="preserve"> </w:t>
      </w:r>
      <w:r w:rsidRPr="00632BFB">
        <w:rPr>
          <w:b/>
          <w:bCs/>
        </w:rPr>
        <w:t>the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</w:rPr>
        <w:t>analysis</w:t>
      </w:r>
      <w:r w:rsidRPr="00632BFB">
        <w:rPr>
          <w:b/>
          <w:bCs/>
          <w:spacing w:val="-3"/>
        </w:rPr>
        <w:t xml:space="preserve"> </w:t>
      </w:r>
      <w:r w:rsidRPr="00632BFB">
        <w:rPr>
          <w:b/>
          <w:bCs/>
        </w:rPr>
        <w:t>you</w:t>
      </w:r>
      <w:r w:rsidRPr="00632BFB">
        <w:rPr>
          <w:b/>
          <w:bCs/>
          <w:spacing w:val="-4"/>
        </w:rPr>
        <w:t xml:space="preserve"> </w:t>
      </w:r>
      <w:r w:rsidRPr="00632BFB">
        <w:rPr>
          <w:b/>
          <w:bCs/>
          <w:spacing w:val="-2"/>
        </w:rPr>
        <w:t>performed</w:t>
      </w:r>
    </w:p>
    <w:p w14:paraId="00366667" w14:textId="77777777" w:rsidR="00311147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40" w:line="276" w:lineRule="auto"/>
        <w:ind w:left="1080" w:right="36" w:hanging="359"/>
      </w:pPr>
      <w:r>
        <w:t xml:space="preserve">Refer to </w:t>
      </w:r>
      <w:hyperlink r:id="rId9">
        <w:r>
          <w:rPr>
            <w:color w:val="1154CC"/>
            <w:u w:val="single" w:color="1154CC"/>
          </w:rPr>
          <w:t>NACDA Data Sharing Best Practices</w:t>
        </w:r>
      </w:hyperlink>
      <w:r>
        <w:rPr>
          <w:color w:val="1154CC"/>
        </w:rPr>
        <w:t xml:space="preserve"> </w:t>
      </w:r>
      <w:r>
        <w:t>for details about file-naming, metadata at the collection and</w:t>
      </w:r>
      <w:r>
        <w:rPr>
          <w:spacing w:val="-2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more;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best practices</w:t>
      </w:r>
      <w:r>
        <w:rPr>
          <w:spacing w:val="-4"/>
        </w:rPr>
        <w:t xml:space="preserve"> </w:t>
      </w:r>
      <w:r>
        <w:t>pertain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whether 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 curated NACDA archive or the NACDA-OAR self-publishing option.</w:t>
      </w:r>
    </w:p>
    <w:p w14:paraId="414341D9" w14:textId="7D07772F" w:rsidR="00380EA1" w:rsidRDefault="00380EA1" w:rsidP="00380EA1">
      <w:pPr>
        <w:pStyle w:val="ListParagraph"/>
        <w:numPr>
          <w:ilvl w:val="1"/>
          <w:numId w:val="2"/>
        </w:numPr>
        <w:tabs>
          <w:tab w:val="left" w:pos="2520"/>
        </w:tabs>
        <w:spacing w:before="37" w:line="276" w:lineRule="auto"/>
        <w:ind w:right="405"/>
      </w:pPr>
      <w:r w:rsidRPr="00380EA1">
        <w:rPr>
          <w:b/>
          <w:bCs/>
        </w:rPr>
        <w:t>If you are</w:t>
      </w:r>
      <w:r w:rsidRPr="00380EA1">
        <w:rPr>
          <w:b/>
          <w:bCs/>
        </w:rPr>
        <w:t xml:space="preserve"> sharing data</w:t>
      </w:r>
      <w:r>
        <w:t>, and are</w:t>
      </w:r>
      <w:r>
        <w:t xml:space="preserve"> the data producer/have collected data and have the right to publish it, </w:t>
      </w:r>
    </w:p>
    <w:p w14:paraId="4C41EB90" w14:textId="77777777" w:rsidR="00380EA1" w:rsidRDefault="00380EA1" w:rsidP="00380EA1">
      <w:pPr>
        <w:pStyle w:val="ListParagraph"/>
        <w:numPr>
          <w:ilvl w:val="2"/>
          <w:numId w:val="2"/>
        </w:numPr>
        <w:tabs>
          <w:tab w:val="left" w:pos="2520"/>
        </w:tabs>
        <w:spacing w:before="37" w:line="276" w:lineRule="auto"/>
        <w:ind w:right="405"/>
      </w:pPr>
      <w:r>
        <w:t>Be sure to remove sensitive information from the data (mask or remove identifying variables, aggregate the data, collapse categories, as needed)</w:t>
      </w:r>
    </w:p>
    <w:p w14:paraId="2F669C04" w14:textId="788A373B" w:rsidR="00380EA1" w:rsidRDefault="00380EA1" w:rsidP="00380EA1">
      <w:pPr>
        <w:pStyle w:val="ListParagraph"/>
        <w:numPr>
          <w:ilvl w:val="2"/>
          <w:numId w:val="2"/>
        </w:numPr>
        <w:tabs>
          <w:tab w:val="left" w:pos="2520"/>
        </w:tabs>
        <w:spacing w:before="37" w:line="276" w:lineRule="auto"/>
        <w:ind w:right="405"/>
      </w:pPr>
      <w:r>
        <w:t xml:space="preserve">Include variable metadata (labels, value labels, missing designations, </w:t>
      </w:r>
      <w:proofErr w:type="gramStart"/>
      <w:r>
        <w:t>etc.</w:t>
      </w:r>
      <w:proofErr w:type="gramEnd"/>
      <w:r>
        <w:t xml:space="preserve">) either by providing completed variable fields in the data file (SPSS, Stata, R) or by providing supplemental syntax files (SAS), syntax with the definitions, or </w:t>
      </w:r>
      <w:proofErr w:type="gramStart"/>
      <w:r>
        <w:t>some</w:t>
      </w:r>
      <w:proofErr w:type="gramEnd"/>
      <w:r>
        <w:t xml:space="preserve"> other human and machine readable </w:t>
      </w:r>
    </w:p>
    <w:p w14:paraId="0F15D744" w14:textId="43D605DC" w:rsidR="00311147" w:rsidRDefault="00000000" w:rsidP="00380EA1">
      <w:pPr>
        <w:pStyle w:val="ListParagraph"/>
        <w:numPr>
          <w:ilvl w:val="0"/>
          <w:numId w:val="2"/>
        </w:numPr>
        <w:tabs>
          <w:tab w:val="left" w:pos="1080"/>
        </w:tabs>
        <w:spacing w:line="278" w:lineRule="auto"/>
        <w:ind w:left="1080" w:right="478" w:hanging="360"/>
      </w:pPr>
      <w:r>
        <w:t>After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NACDA-OAR</w:t>
        </w:r>
      </w:hyperlink>
      <w:r>
        <w:rPr>
          <w:color w:val="0000FF"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“publish”,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searching</w:t>
      </w:r>
      <w:r>
        <w:rPr>
          <w:spacing w:val="-4"/>
        </w:rPr>
        <w:t xml:space="preserve"> </w:t>
      </w:r>
      <w:r>
        <w:t>the NACDA or ICPSR websites will have the opportunity to discover your project!</w:t>
      </w:r>
    </w:p>
    <w:sectPr w:rsidR="00311147">
      <w:type w:val="continuous"/>
      <w:pgSz w:w="12240" w:h="15840"/>
      <w:pgMar w:top="9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95441"/>
    <w:multiLevelType w:val="hybridMultilevel"/>
    <w:tmpl w:val="E0469030"/>
    <w:lvl w:ilvl="0" w:tplc="03C6442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442440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19FE9D7C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19EE1F6C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FB42BB58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A7C6C440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73365548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1B282E9A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16AC347A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06F2646"/>
    <w:multiLevelType w:val="hybridMultilevel"/>
    <w:tmpl w:val="0E6C882E"/>
    <w:lvl w:ilvl="0" w:tplc="DF904950">
      <w:numFmt w:val="bullet"/>
      <w:lvlText w:val="●"/>
      <w:lvlJc w:val="left"/>
      <w:pPr>
        <w:ind w:left="107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108326">
      <w:numFmt w:val="bullet"/>
      <w:lvlText w:val="●"/>
      <w:lvlJc w:val="left"/>
      <w:pPr>
        <w:ind w:left="180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6F4D9D0">
      <w:numFmt w:val="bullet"/>
      <w:lvlText w:val="○"/>
      <w:lvlJc w:val="left"/>
      <w:pPr>
        <w:ind w:left="25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B867DCC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4" w:tplc="9574F9E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B274B91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3B324CD0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269E05C4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AD3EC770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 w16cid:durableId="2016609245">
    <w:abstractNumId w:val="0"/>
  </w:num>
  <w:num w:numId="2" w16cid:durableId="34656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147"/>
    <w:rsid w:val="001F5EB7"/>
    <w:rsid w:val="00311147"/>
    <w:rsid w:val="00380EA1"/>
    <w:rsid w:val="00632BFB"/>
    <w:rsid w:val="0064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E035"/>
  <w15:docId w15:val="{4778FD12-FD12-4B61-AD69-15DD879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0" w:hanging="360"/>
    </w:pPr>
  </w:style>
  <w:style w:type="paragraph" w:styleId="ListParagraph">
    <w:name w:val="List Paragraph"/>
    <w:basedOn w:val="Normal"/>
    <w:uiPriority w:val="1"/>
    <w:qFormat/>
    <w:pPr>
      <w:ind w:left="25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psr.umich.edu/sites/icpsr/about/policies/redistribu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psr-help@umi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psr-help@umich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cpsr-help@umich.edu" TargetMode="External"/><Relationship Id="rId10" Type="http://schemas.openxmlformats.org/officeDocument/2006/relationships/hyperlink" Target="https://archive.icpsr.umich.edu/nacda/nacda-o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pvip.icpsr.umich.edu/nacda/wp-content/uploads/sites/18/2025/09/nacda_datasharing_bestpractices_NIA_funded_research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Practice for Sharing Code using NACDA-OAR (self-publishing repository)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Practice for Sharing using NACDA-OAR (self-publishing repository)</dc:title>
  <dc:creator>NACDA</dc:creator>
  <cp:keywords>data sharing, code sharing, NACDA, ICPSR</cp:keywords>
  <cp:lastModifiedBy>kfrania</cp:lastModifiedBy>
  <cp:revision>5</cp:revision>
  <dcterms:created xsi:type="dcterms:W3CDTF">2026-02-09T20:03:00Z</dcterms:created>
  <dcterms:modified xsi:type="dcterms:W3CDTF">2026-02-09T20:20:00Z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D:20250912133444</vt:lpwstr>
  </property>
</Properties>
</file>